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5C" w:rsidRDefault="00B22F5C" w:rsidP="004D23C4">
      <w:pPr>
        <w:widowControl/>
        <w:jc w:val="left"/>
        <w:rPr>
          <w:rFonts w:ascii="黑体" w:eastAsia="黑体" w:hAnsi="黑体" w:cs="黑体"/>
          <w:kern w:val="0"/>
          <w:sz w:val="24"/>
          <w:szCs w:val="24"/>
        </w:rPr>
      </w:pPr>
      <w:r w:rsidRPr="00D807EB">
        <w:rPr>
          <w:rFonts w:ascii="黑体" w:eastAsia="黑体" w:hAnsi="黑体" w:cs="黑体" w:hint="eastAsia"/>
          <w:kern w:val="0"/>
          <w:sz w:val="24"/>
          <w:szCs w:val="24"/>
        </w:rPr>
        <w:t>附件</w:t>
      </w:r>
      <w:r w:rsidRPr="00D807EB">
        <w:rPr>
          <w:rFonts w:ascii="黑体" w:eastAsia="黑体" w:hAnsi="黑体" w:cs="黑体"/>
          <w:kern w:val="0"/>
          <w:sz w:val="24"/>
          <w:szCs w:val="24"/>
        </w:rPr>
        <w:t>3</w:t>
      </w:r>
    </w:p>
    <w:p w:rsidR="00C76661" w:rsidRPr="00D807EB" w:rsidRDefault="00C76661" w:rsidP="004D23C4">
      <w:pPr>
        <w:widowControl/>
        <w:jc w:val="left"/>
        <w:rPr>
          <w:rFonts w:ascii="黑体" w:eastAsia="黑体" w:hAnsi="黑体" w:cs="黑体"/>
          <w:kern w:val="0"/>
          <w:sz w:val="24"/>
          <w:szCs w:val="24"/>
        </w:rPr>
      </w:pPr>
    </w:p>
    <w:p w:rsidR="00CC5AAF" w:rsidRDefault="00CC5AAF" w:rsidP="00CC5AAF">
      <w:pPr>
        <w:jc w:val="center"/>
        <w:rPr>
          <w:rFonts w:ascii="华文中宋" w:eastAsia="华文中宋" w:hAnsi="华文中宋"/>
          <w:sz w:val="32"/>
          <w:szCs w:val="32"/>
        </w:rPr>
      </w:pPr>
      <w:r w:rsidRPr="00847B6F">
        <w:rPr>
          <w:rFonts w:ascii="华文中宋" w:eastAsia="华文中宋" w:hAnsi="华文中宋" w:hint="eastAsia"/>
          <w:sz w:val="32"/>
          <w:szCs w:val="32"/>
        </w:rPr>
        <w:t>中国航海学会201</w:t>
      </w:r>
      <w:r>
        <w:rPr>
          <w:rFonts w:ascii="华文中宋" w:eastAsia="华文中宋" w:hAnsi="华文中宋" w:hint="eastAsia"/>
          <w:sz w:val="32"/>
          <w:szCs w:val="32"/>
        </w:rPr>
        <w:t>6</w:t>
      </w:r>
      <w:r w:rsidRPr="00847B6F">
        <w:rPr>
          <w:rFonts w:ascii="华文中宋" w:eastAsia="华文中宋" w:hAnsi="华文中宋" w:hint="eastAsia"/>
          <w:sz w:val="32"/>
          <w:szCs w:val="32"/>
        </w:rPr>
        <w:t>年优秀论文名单</w:t>
      </w:r>
    </w:p>
    <w:tbl>
      <w:tblPr>
        <w:tblW w:w="8790" w:type="dxa"/>
        <w:jc w:val="center"/>
        <w:tblInd w:w="96" w:type="dxa"/>
        <w:tblLook w:val="04A0"/>
      </w:tblPr>
      <w:tblGrid>
        <w:gridCol w:w="852"/>
        <w:gridCol w:w="3785"/>
        <w:gridCol w:w="1842"/>
        <w:gridCol w:w="2311"/>
      </w:tblGrid>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序号</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论文题目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作者</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第一作者单位</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物流基地危险货物储区外部安全防护距离研究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刘星</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重庆交通大学交通运输学院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基于星载AIS的港口挖掘与航道发现</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杨庆、李凯、</w:t>
            </w:r>
          </w:p>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姚迪</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海军装备研究院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AMSR2和SSMIS卫星遥感海冰密集度资料在北极东北航道的适用性评估</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赵杰臣、程净净、张林、李春花、杨清华、李明、刘富彬</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国家海洋环境预报中心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基于侧扫声呐图像的水底目标定量识别方法</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陈曦、李京、</w:t>
            </w:r>
          </w:p>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沈蔚、蒋卫国</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北京师范大学减灾与应急管理研究院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基于形状上下文的SAR图像舰船目标识别</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祝继伟、仇晓兰、雷斌、丁赤飚</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中国科学院电子学研究所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稀少控制条件下异源卫星影像海上目标定位技术</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李莹莹、吴昊、常学立、孙晓坤</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北京市遥感信息研究所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基于油膜遥感信息特征的海上搜救目标检测方法</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崔璨、李颖、</w:t>
            </w:r>
          </w:p>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刘丙新</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政府投资项目经济效益评价方法改进的建议</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潘文达</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交通运输部水运科学研究院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9</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一种液化天然气加注趸船池火危害简易评价方法</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鲁盈利、张建通、吕植勇</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武汉理工大学智能交通系统研究中心</w:t>
            </w:r>
          </w:p>
        </w:tc>
      </w:tr>
      <w:tr w:rsidR="00CC5AAF" w:rsidRPr="002A263C" w:rsidTr="00955C4C">
        <w:trPr>
          <w:trHeight w:val="74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三峡坝上锚地待闸船舶综合服务思考</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胡瑞清</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长江三峡通航管理局</w:t>
            </w:r>
          </w:p>
        </w:tc>
      </w:tr>
      <w:tr w:rsidR="00CC5AAF" w:rsidRPr="002A263C" w:rsidTr="00955C4C">
        <w:trPr>
          <w:trHeight w:val="36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反弧门启闭机构运动模型与关终位调整研究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阮峻</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长江三峡通航管理局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均衡船舶移泊时间对三峡船闸过闸效率的影响浅析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何军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长江三峡通航管理局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基于微流控芯片的压载水中细菌检测方法研究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江佳威、刘士恒、潘博、江金虎、王成法、王俊生</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船舶油污水无机絮凝剂机理研究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沈毅刚、孟雄飞、季强、宋永欣</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基于T-S模型的航向非线性鲁棒PD模糊控制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王立军、王思思、乔子轩</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广东海洋大学航海学院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16</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 xml:space="preserve">简述操纵超大型船舶在靠泊阶段的技术运用及其防御性操作 </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刘维刚、刘宝良</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天津港引航中心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深水起抛锚作业中船舶的稳性分析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曾程</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中海油田服务股份有限公司船舶事业部船舶技术所</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lastRenderedPageBreak/>
              <w:t>序号</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论文题目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作者</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第一作者单位</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18</w:t>
            </w:r>
          </w:p>
        </w:tc>
        <w:tc>
          <w:tcPr>
            <w:tcW w:w="3785" w:type="dxa"/>
            <w:tcBorders>
              <w:top w:val="single" w:sz="4" w:space="0" w:color="auto"/>
              <w:left w:val="single" w:sz="4" w:space="0" w:color="auto"/>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大型船舶梅山码头拢泊困难原因分析及对策</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谢哲学、李飞镝、吴声、赵方斌</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宁波引航站</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19</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虾峙门水道船舶险情、事故多发原因及对策</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潘国华、陈意洁、赵方斌</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宁波引航站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倒U电容式船舶液柜动态液位测量技术研究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刘士恒、江佳威、闫一默、曾弘扬、孟雄飞、潘新祥、 宋永欣</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55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船舶加速度及应用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彭延领</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上海港引航站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探索翻扣船的应急拖带</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周元波、马法剑、孙程琳</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交通运输部北海救助局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液货晃荡对双壳油船碰撞性能的影响研究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吴文锋、卢金树、邓佳佳、朱发新</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浙江海洋大学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AHP在引航安全指标评价中的应用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王炜</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长江引航中心张家港引航站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航路调整后海船进出福南水道风险防范探讨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汤荣干</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长江引航中心张家港引航站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26</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船舶油污损害赔偿基金理赔决定的可诉性研究分析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帅月新、施依柠</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中国船舶油污损害理赔事务中心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27</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SOLAS公约关于登离船设施的要求及PSC检查要点</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杜何阳、邱学刚</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上海杨浦海事局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黄浦江航标配置若干问题浅析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林智斌、徐洪明、李巍</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上海杨浦海事局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29</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航标信息更新与发布系统的设计与实现</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孙强、王洪燕、彭景润、张延茂</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中国航海图书出版社</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湛江港大型船舶夜航的风险分析与安全对策</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陈真日</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湛江港引航站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从一起船舶碰撞事故谈油漆物证的提取和检验</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周洪洋、尹晓楠、邴磊、郭恩桥、张海江、秦志江</w:t>
            </w:r>
          </w:p>
        </w:tc>
        <w:tc>
          <w:tcPr>
            <w:tcW w:w="2311"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烟台海事局烟台溢油应急技术中心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某中小型LNG动力船舶储罐的设计</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宋洋、吴桂涛</w:t>
            </w:r>
          </w:p>
        </w:tc>
        <w:tc>
          <w:tcPr>
            <w:tcW w:w="2311"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大连海事大学轮机工程学院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基于交通波理论的吴淞口警戒区通航效率分析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马建斌、吴志军、由继伟</w:t>
            </w:r>
          </w:p>
        </w:tc>
        <w:tc>
          <w:tcPr>
            <w:tcW w:w="2311"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575"/>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船用LNG双燃料柴油机排放试验研究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许建华</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中国船级社重庆分社</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船舶废气实现海水空泡化减阻系统设计</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白里航、崔文彬、白里伟</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西安交通大学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热浸渗铝技术在航标养护中的应用研究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程胜利、陈祎荻、谢海东</w:t>
            </w:r>
          </w:p>
        </w:tc>
        <w:tc>
          <w:tcPr>
            <w:tcW w:w="2311"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北海航海保障中心天津航标处</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一种提高航标作业效率和助航安全保障能力的新型锚链卸扣研究设计</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董效鹏</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北海航海保障中心</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lastRenderedPageBreak/>
              <w:t>序号</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论文题目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作者</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第一作者单位</w:t>
            </w:r>
          </w:p>
        </w:tc>
      </w:tr>
      <w:tr w:rsidR="00CC5AAF" w:rsidRPr="002A263C" w:rsidTr="00955C4C">
        <w:trPr>
          <w:trHeight w:val="557"/>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38</w:t>
            </w:r>
          </w:p>
        </w:tc>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长兴岛北港区冰期引航</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李吉庆</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大连引航站</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39</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无人驾驶船舶如何建立狭窄水域操纵的模糊数据模型探讨</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李林、孙大威</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耙吸挖泥船精确与高效自主疏浚集成控制核心技术研究与应用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丁树友</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中交天津航道局有限公司</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挖泥船输送系统计算分析软件(DTAS)研制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秦亮、田会静、郭翠双</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中交天津航道局有限公司</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主机增压器滑油出口温度偏高故障分析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酉小广、四建腾、陶飞</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中国卫星海上测控部</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缩短获取长江航行信息延迟方法研究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王胜利、周春华、王 帅</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中国卫星海上测控部</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基于复杂网络的交叉航道内船舶汇聚度模型</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张树奎、肖英杰</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江苏海事职业技术学院航海技术系</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45</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纳米MoS2颗粒对海洋平台铝合金钻探管表面微弧氧化膜的性能影响</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沈雁、王红星</w:t>
            </w:r>
          </w:p>
        </w:tc>
        <w:tc>
          <w:tcPr>
            <w:tcW w:w="2311"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江苏海事职业技术学院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事故多发航段的安全可提高空间判别方法</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 xml:space="preserve">谢保峰、杨玲、葛蓉  </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江苏海事职业技术学院航海技术学院</w:t>
            </w:r>
          </w:p>
        </w:tc>
      </w:tr>
      <w:tr w:rsidR="00CC5AAF" w:rsidRPr="002A263C" w:rsidTr="00955C4C">
        <w:trPr>
          <w:trHeight w:val="82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MSC.365(93)决议框架内的舵效换算风险分析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杨世知</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中国船级社江苏分社</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团队引航模式在长江引航中的应用初探</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李宁、张广宇、曾亚军、曹金海</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长江引航中心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49</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大型船舶福中水道安全航行对策探讨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骆二鹏、关宏旭</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长江引航中心靖江引航站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事故假想制度在船舶航行安全管理中的思考</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张庆明</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长江引航中心常熟引航站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51</w:t>
            </w:r>
          </w:p>
        </w:tc>
        <w:tc>
          <w:tcPr>
            <w:tcW w:w="3785" w:type="dxa"/>
            <w:tcBorders>
              <w:top w:val="nil"/>
              <w:left w:val="nil"/>
              <w:bottom w:val="single" w:sz="4" w:space="0" w:color="auto"/>
              <w:right w:val="single" w:sz="4" w:space="0" w:color="auto"/>
            </w:tcBorders>
            <w:shd w:val="clear" w:color="auto" w:fill="auto"/>
            <w:noWrap/>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利用卫星高度计资料重构赤道区域次表层海温</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郭文博、石晓录</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rPr>
                <w:rFonts w:ascii="宋体" w:hAnsi="宋体" w:cs="宋体"/>
                <w:color w:val="000000"/>
                <w:kern w:val="0"/>
                <w:sz w:val="22"/>
              </w:rPr>
            </w:pPr>
            <w:r w:rsidRPr="002A263C">
              <w:rPr>
                <w:rFonts w:ascii="宋体" w:hAnsi="宋体" w:cs="宋体" w:hint="eastAsia"/>
                <w:color w:val="000000"/>
                <w:kern w:val="0"/>
                <w:sz w:val="22"/>
                <w:szCs w:val="22"/>
              </w:rPr>
              <w:t>中国卫星海上测控部</w:t>
            </w:r>
          </w:p>
        </w:tc>
      </w:tr>
      <w:tr w:rsidR="00CC5AAF" w:rsidRPr="002A263C" w:rsidTr="00955C4C">
        <w:trPr>
          <w:trHeight w:val="32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基于个人终端的电子海图系统应用研究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周春华、王胜利、王桐明</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中国卫星海上测控部</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充分发挥国家专业救助力量在维护南海海洋权益的作用</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胡传华</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交通运输部南海救助局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大型客船搜救人为因素对策分析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陈小龙、彭赞</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交通运输部南海救助局</w:t>
            </w:r>
          </w:p>
        </w:tc>
      </w:tr>
      <w:tr w:rsidR="00CC5AAF" w:rsidRPr="002A263C" w:rsidTr="00955C4C">
        <w:trPr>
          <w:trHeight w:val="36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大型客船遇险搜救难点及对策</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余文杰</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交通运输部南海救助局</w:t>
            </w:r>
          </w:p>
        </w:tc>
      </w:tr>
      <w:tr w:rsidR="00CC5AAF" w:rsidRPr="002A263C" w:rsidTr="00955C4C">
        <w:trPr>
          <w:trHeight w:val="32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铝合金双体高速救助船腐蚀特点及相应对策</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王晓军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交通运输部南海救助局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长江内河船社会结构研究及其管理初探</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王梓源、徐伟欣</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江苏南通海事局</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船舶试航安全管理现状与监督检查研究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杜缘缘</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江苏南通海事局</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lastRenderedPageBreak/>
              <w:t>序号</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论文题目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作者</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第一作者单位</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59</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浅议对船员服务资历真实性的监督管理</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步长水</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山东日照海事局</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60</w:t>
            </w:r>
          </w:p>
        </w:tc>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关于内河船舶含油舱底水强制岸排的建议</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李永恒</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深圳海事局</w:t>
            </w:r>
          </w:p>
        </w:tc>
      </w:tr>
      <w:tr w:rsidR="00CC5AAF" w:rsidRPr="002A263C" w:rsidTr="00955C4C">
        <w:trPr>
          <w:trHeight w:val="820"/>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61</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kern w:val="0"/>
                <w:sz w:val="22"/>
              </w:rPr>
            </w:pPr>
            <w:r w:rsidRPr="002A263C">
              <w:rPr>
                <w:rFonts w:ascii="宋体" w:hAnsi="宋体" w:cs="宋体" w:hint="eastAsia"/>
                <w:kern w:val="0"/>
                <w:sz w:val="22"/>
                <w:szCs w:val="22"/>
              </w:rPr>
              <w:t>浅谈实施集装箱货物强制称重对我国航运业的影响及海事部门的应对措施</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曾四方</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深圳盐田海事局</w:t>
            </w:r>
          </w:p>
        </w:tc>
      </w:tr>
      <w:tr w:rsidR="00CC5AAF" w:rsidRPr="002A263C" w:rsidTr="00955C4C">
        <w:trPr>
          <w:trHeight w:val="561"/>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游艇配备AIS的必要性</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孙增华</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深圳宝安海事局</w:t>
            </w:r>
          </w:p>
        </w:tc>
      </w:tr>
      <w:tr w:rsidR="00CC5AAF" w:rsidRPr="002A263C" w:rsidTr="00955C4C">
        <w:trPr>
          <w:trHeight w:val="82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E36-D36钢断裂韧性分布规律研究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刘成名、杨清峡、梁园华、李洛东</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中国船级社海洋工程技术中心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老龄海洋平台的结构延寿评估技术研究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徐辉、高畅</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中国船级社海洋工程技术中心</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 xml:space="preserve">船舶尾轴-油膜-艉部结构耦合系统的动力学特性研究 </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董良雄、张涛、李玉乐、王帅军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浙江海洋大学港航学院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海上落水人员风险评价模型研究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刘虎、徐艳军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浙江海洋大学港航学院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内河200吨以下客渡船顺流靠泊研究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吴易甲、池弘福</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浙江海洋大学港航与建筑工程学院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油船晃荡液货舱逸出气体回收利用装置设计</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朱发新、卢金树、吴文锋、董良雄、李玉乐</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浙江海洋大学海运与港航建筑工程学院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69</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爆破挤淤堤上重件出运码头结构设计</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李武、魏冰</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中交第三航务工程勘察设计院有限公司</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70</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航行数据记录仪在内河客船的应用研究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黄朝霞、黄克闪</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中国船级社武汉规范研究所</w:t>
            </w:r>
          </w:p>
        </w:tc>
      </w:tr>
      <w:tr w:rsidR="00CC5AAF" w:rsidRPr="002A263C" w:rsidTr="00955C4C">
        <w:trPr>
          <w:trHeight w:val="76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71</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能见度不良天气引领大型集装箱船进出洋山深水港</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薛一东</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上海港引航站</w:t>
            </w:r>
          </w:p>
        </w:tc>
      </w:tr>
      <w:tr w:rsidR="00CC5AAF" w:rsidRPr="002A263C" w:rsidTr="00955C4C">
        <w:trPr>
          <w:trHeight w:val="704"/>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宁波远东码头11#泊位大型散装船安全稳泊措施</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陈杰、尤庆华、黄天翔</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宁波大港引航有限公司</w:t>
            </w:r>
          </w:p>
        </w:tc>
      </w:tr>
      <w:tr w:rsidR="00CC5AAF" w:rsidRPr="002A263C" w:rsidTr="00955C4C">
        <w:trPr>
          <w:trHeight w:val="70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冰期船舶刮冰操纵</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杨炳栋</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黄骅港引航站</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基于SEM的船舶安全要素关联性分析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陈兴伟、胡甚平、顾洵瑜、轩少永</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浙江交通职业技术学院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“更”考</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逄文昱、韩庆</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大连海事大学航海历史与文化研究中心</w:t>
            </w:r>
          </w:p>
        </w:tc>
      </w:tr>
      <w:tr w:rsidR="00CC5AAF" w:rsidRPr="002A263C" w:rsidTr="00955C4C">
        <w:trPr>
          <w:trHeight w:val="84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柴油机SCR系统稳态尿素喷射控制策略试验研究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付立东、高子朋、吴桂涛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大连海事大学轮机工程学院</w:t>
            </w:r>
          </w:p>
        </w:tc>
      </w:tr>
      <w:tr w:rsidR="00CC5AAF" w:rsidRPr="002A263C" w:rsidTr="00955C4C">
        <w:trPr>
          <w:trHeight w:val="846"/>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沉潜油监视监测技术方法研究-以秦皇岛浅水湾为例</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马龙、张海勇、姜宏伟、赵俊颖</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lastRenderedPageBreak/>
              <w:t>序号</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论文题目</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作者</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第一作者单位</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78</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船舶SCR系统反吹再生装置的设计与仿真</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张奇、张洪朋、刘后祥、付洪发、陈海泉、孙玉清</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大连海事大学轮机工程学院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79</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船舶导航雷达模拟器应用与发展研究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杨晓、余枫</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80</w:t>
            </w:r>
          </w:p>
        </w:tc>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基于电解海水的模拟船舶柴油机废气脱硝实验研究</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韩志涛、于景奇、杨少龙、严志军、潘新祥</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大连海事大学轮机工程学院</w:t>
            </w:r>
          </w:p>
        </w:tc>
      </w:tr>
      <w:tr w:rsidR="00CC5AAF" w:rsidRPr="002A263C" w:rsidTr="00955C4C">
        <w:trPr>
          <w:trHeight w:val="288"/>
          <w:jc w:val="center"/>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81</w:t>
            </w:r>
          </w:p>
        </w:tc>
        <w:tc>
          <w:tcPr>
            <w:tcW w:w="3785"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防波堤端部非均匀流对船舶航行影响的数值计算</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李强、洪碧光、高孝日</w:t>
            </w:r>
          </w:p>
        </w:tc>
        <w:tc>
          <w:tcPr>
            <w:tcW w:w="2311" w:type="dxa"/>
            <w:tcBorders>
              <w:top w:val="single" w:sz="4" w:space="0" w:color="auto"/>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82</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船舶余热有机朗肯循环的方案设计及性能研究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陈旭立、曾维武、李策略、宋赫、董景明、潘新祥</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83</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双圆弧型风帆的双帆干扰分析</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傅超、黄连忠、林虹兆、孟令平</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84</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海船船员货物积载与系固评估智能评判系统的设计与实现</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王庆武、李伟峰、马麟、白春江、田佰军</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85</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基于板式热管的船舶缸套水温差发电实验研究</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范睿、李海涛、邢丰、刘艳年、纪玉龙</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86</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基于实测海浪和CFD技术的船舶摇荡预报新方法</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石博文、刘正江</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大连海事大学航海学院</w:t>
            </w:r>
          </w:p>
        </w:tc>
      </w:tr>
      <w:tr w:rsidR="00CC5AAF" w:rsidRPr="002A263C" w:rsidTr="00955C4C">
        <w:trPr>
          <w:trHeight w:val="288"/>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CC5AAF" w:rsidRPr="002A263C" w:rsidRDefault="00CC5AAF" w:rsidP="00955C4C">
            <w:pPr>
              <w:widowControl/>
              <w:jc w:val="center"/>
              <w:rPr>
                <w:rFonts w:ascii="宋体" w:hAnsi="宋体" w:cs="宋体"/>
                <w:color w:val="000000"/>
                <w:kern w:val="0"/>
                <w:sz w:val="22"/>
              </w:rPr>
            </w:pPr>
            <w:r w:rsidRPr="002A263C">
              <w:rPr>
                <w:rFonts w:ascii="宋体" w:hAnsi="宋体" w:cs="宋体" w:hint="eastAsia"/>
                <w:color w:val="000000"/>
                <w:kern w:val="0"/>
                <w:sz w:val="22"/>
                <w:szCs w:val="22"/>
              </w:rPr>
              <w:t>87</w:t>
            </w:r>
          </w:p>
        </w:tc>
        <w:tc>
          <w:tcPr>
            <w:tcW w:w="3785"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LNG船PSC检查要点综述</w:t>
            </w:r>
          </w:p>
        </w:tc>
        <w:tc>
          <w:tcPr>
            <w:tcW w:w="1842"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韩铁民</w:t>
            </w:r>
          </w:p>
        </w:tc>
        <w:tc>
          <w:tcPr>
            <w:tcW w:w="2311" w:type="dxa"/>
            <w:tcBorders>
              <w:top w:val="nil"/>
              <w:left w:val="nil"/>
              <w:bottom w:val="single" w:sz="4" w:space="0" w:color="auto"/>
              <w:right w:val="single" w:sz="4" w:space="0" w:color="auto"/>
            </w:tcBorders>
            <w:shd w:val="clear" w:color="auto" w:fill="auto"/>
            <w:noWrap/>
            <w:vAlign w:val="center"/>
            <w:hideMark/>
          </w:tcPr>
          <w:p w:rsidR="00CC5AAF" w:rsidRPr="002A263C" w:rsidRDefault="00CC5AAF" w:rsidP="00955C4C">
            <w:pPr>
              <w:widowControl/>
              <w:jc w:val="left"/>
              <w:rPr>
                <w:rFonts w:ascii="宋体" w:hAnsi="宋体" w:cs="宋体"/>
                <w:color w:val="000000"/>
                <w:kern w:val="0"/>
                <w:sz w:val="22"/>
              </w:rPr>
            </w:pPr>
            <w:r w:rsidRPr="002A263C">
              <w:rPr>
                <w:rFonts w:ascii="宋体" w:hAnsi="宋体" w:cs="宋体" w:hint="eastAsia"/>
                <w:color w:val="000000"/>
                <w:kern w:val="0"/>
                <w:sz w:val="22"/>
                <w:szCs w:val="22"/>
              </w:rPr>
              <w:t>大连远洋运输有限公司船员管理中心</w:t>
            </w:r>
          </w:p>
        </w:tc>
      </w:tr>
    </w:tbl>
    <w:p w:rsidR="00CC5AAF" w:rsidRPr="00A40DF7" w:rsidRDefault="00CC5AAF" w:rsidP="00CC5AAF">
      <w:pPr>
        <w:widowControl/>
        <w:spacing w:line="580" w:lineRule="exact"/>
        <w:rPr>
          <w:rFonts w:ascii="仿宋" w:eastAsia="仿宋" w:hAnsi="仿宋"/>
          <w:sz w:val="30"/>
          <w:szCs w:val="30"/>
        </w:rPr>
      </w:pPr>
    </w:p>
    <w:p w:rsidR="00B22F5C" w:rsidRPr="00CC5AAF" w:rsidRDefault="00B22F5C" w:rsidP="004D23C4">
      <w:pPr>
        <w:spacing w:line="580" w:lineRule="exact"/>
        <w:jc w:val="center"/>
        <w:rPr>
          <w:rFonts w:ascii="华文仿宋" w:eastAsia="华文仿宋" w:hAnsi="华文仿宋" w:cs="Times New Roman"/>
          <w:sz w:val="32"/>
          <w:szCs w:val="32"/>
        </w:rPr>
      </w:pPr>
    </w:p>
    <w:sectPr w:rsidR="00B22F5C" w:rsidRPr="00CC5AAF" w:rsidSect="00D62A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63" w:rsidRDefault="006A3663" w:rsidP="006654EE">
      <w:pPr>
        <w:rPr>
          <w:rFonts w:cs="Times New Roman"/>
        </w:rPr>
      </w:pPr>
      <w:r>
        <w:rPr>
          <w:rFonts w:cs="Times New Roman"/>
        </w:rPr>
        <w:separator/>
      </w:r>
    </w:p>
  </w:endnote>
  <w:endnote w:type="continuationSeparator" w:id="1">
    <w:p w:rsidR="006A3663" w:rsidRDefault="006A3663" w:rsidP="006654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4C" w:rsidRDefault="00583E72">
    <w:pPr>
      <w:pStyle w:val="a4"/>
      <w:jc w:val="center"/>
      <w:rPr>
        <w:rFonts w:cs="Times New Roman"/>
      </w:rPr>
    </w:pPr>
    <w:fldSimple w:instr=" PAGE   \* MERGEFORMAT ">
      <w:r w:rsidR="00645A1A" w:rsidRPr="00645A1A">
        <w:rPr>
          <w:noProof/>
          <w:lang w:val="zh-CN"/>
        </w:rPr>
        <w:t>5</w:t>
      </w:r>
    </w:fldSimple>
  </w:p>
  <w:p w:rsidR="00955C4C" w:rsidRDefault="00955C4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63" w:rsidRDefault="006A3663" w:rsidP="006654EE">
      <w:pPr>
        <w:rPr>
          <w:rFonts w:cs="Times New Roman"/>
        </w:rPr>
      </w:pPr>
      <w:r>
        <w:rPr>
          <w:rFonts w:cs="Times New Roman"/>
        </w:rPr>
        <w:separator/>
      </w:r>
    </w:p>
  </w:footnote>
  <w:footnote w:type="continuationSeparator" w:id="1">
    <w:p w:rsidR="006A3663" w:rsidRDefault="006A3663" w:rsidP="006654E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4EE"/>
    <w:rsid w:val="00076819"/>
    <w:rsid w:val="0008392C"/>
    <w:rsid w:val="00091123"/>
    <w:rsid w:val="00092D80"/>
    <w:rsid w:val="000E4D28"/>
    <w:rsid w:val="001438FA"/>
    <w:rsid w:val="00175166"/>
    <w:rsid w:val="001A3A3E"/>
    <w:rsid w:val="001B72AB"/>
    <w:rsid w:val="001C2AB3"/>
    <w:rsid w:val="001E74A9"/>
    <w:rsid w:val="001F17EE"/>
    <w:rsid w:val="00203D65"/>
    <w:rsid w:val="002358DA"/>
    <w:rsid w:val="002432FA"/>
    <w:rsid w:val="00244BB3"/>
    <w:rsid w:val="002656DC"/>
    <w:rsid w:val="00274A7E"/>
    <w:rsid w:val="0029056F"/>
    <w:rsid w:val="002E7E4F"/>
    <w:rsid w:val="00327DB9"/>
    <w:rsid w:val="003B5284"/>
    <w:rsid w:val="003E051B"/>
    <w:rsid w:val="00404216"/>
    <w:rsid w:val="00426D5F"/>
    <w:rsid w:val="00461E1C"/>
    <w:rsid w:val="00487BD1"/>
    <w:rsid w:val="004D23C4"/>
    <w:rsid w:val="0055044A"/>
    <w:rsid w:val="0057457F"/>
    <w:rsid w:val="00583E72"/>
    <w:rsid w:val="005B0ACC"/>
    <w:rsid w:val="005B0EE6"/>
    <w:rsid w:val="005B423B"/>
    <w:rsid w:val="005D4FA9"/>
    <w:rsid w:val="00611BD3"/>
    <w:rsid w:val="0061229C"/>
    <w:rsid w:val="00625CDD"/>
    <w:rsid w:val="00645A1A"/>
    <w:rsid w:val="006654EE"/>
    <w:rsid w:val="006858B4"/>
    <w:rsid w:val="00696C8C"/>
    <w:rsid w:val="006A3663"/>
    <w:rsid w:val="006B0F7B"/>
    <w:rsid w:val="006C0FB6"/>
    <w:rsid w:val="00711675"/>
    <w:rsid w:val="0080257B"/>
    <w:rsid w:val="00806986"/>
    <w:rsid w:val="00817D86"/>
    <w:rsid w:val="008230C9"/>
    <w:rsid w:val="00873B42"/>
    <w:rsid w:val="008A79C8"/>
    <w:rsid w:val="008B2651"/>
    <w:rsid w:val="008C459E"/>
    <w:rsid w:val="008D63F2"/>
    <w:rsid w:val="008E0EB5"/>
    <w:rsid w:val="008F3821"/>
    <w:rsid w:val="0090606D"/>
    <w:rsid w:val="00934E52"/>
    <w:rsid w:val="00940BE5"/>
    <w:rsid w:val="00955C4C"/>
    <w:rsid w:val="00960077"/>
    <w:rsid w:val="009768D1"/>
    <w:rsid w:val="009A2536"/>
    <w:rsid w:val="009D5A39"/>
    <w:rsid w:val="009E719D"/>
    <w:rsid w:val="009F0D83"/>
    <w:rsid w:val="00A51109"/>
    <w:rsid w:val="00A624DB"/>
    <w:rsid w:val="00A9651D"/>
    <w:rsid w:val="00B10356"/>
    <w:rsid w:val="00B22F5C"/>
    <w:rsid w:val="00B97E62"/>
    <w:rsid w:val="00BC35D8"/>
    <w:rsid w:val="00BD3ADD"/>
    <w:rsid w:val="00BE0138"/>
    <w:rsid w:val="00C04CAA"/>
    <w:rsid w:val="00C40D13"/>
    <w:rsid w:val="00C63118"/>
    <w:rsid w:val="00C76661"/>
    <w:rsid w:val="00C87CE5"/>
    <w:rsid w:val="00CA6D89"/>
    <w:rsid w:val="00CB0498"/>
    <w:rsid w:val="00CB690C"/>
    <w:rsid w:val="00CC5AAF"/>
    <w:rsid w:val="00CC6043"/>
    <w:rsid w:val="00CD69AC"/>
    <w:rsid w:val="00CD7D5F"/>
    <w:rsid w:val="00CE14E0"/>
    <w:rsid w:val="00CE52DC"/>
    <w:rsid w:val="00D077D1"/>
    <w:rsid w:val="00D62A23"/>
    <w:rsid w:val="00D66F34"/>
    <w:rsid w:val="00D807EB"/>
    <w:rsid w:val="00DF52A1"/>
    <w:rsid w:val="00E4470C"/>
    <w:rsid w:val="00E616CD"/>
    <w:rsid w:val="00EE6DAE"/>
    <w:rsid w:val="00F5554E"/>
    <w:rsid w:val="00F81F88"/>
    <w:rsid w:val="00F95826"/>
    <w:rsid w:val="00FA7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E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65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654EE"/>
    <w:rPr>
      <w:sz w:val="18"/>
      <w:szCs w:val="18"/>
    </w:rPr>
  </w:style>
  <w:style w:type="paragraph" w:styleId="a4">
    <w:name w:val="footer"/>
    <w:basedOn w:val="a"/>
    <w:link w:val="Char0"/>
    <w:uiPriority w:val="99"/>
    <w:rsid w:val="006654E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654EE"/>
    <w:rPr>
      <w:sz w:val="18"/>
      <w:szCs w:val="18"/>
    </w:rPr>
  </w:style>
  <w:style w:type="paragraph" w:styleId="a5">
    <w:name w:val="Date"/>
    <w:basedOn w:val="a"/>
    <w:next w:val="a"/>
    <w:link w:val="Char1"/>
    <w:uiPriority w:val="99"/>
    <w:semiHidden/>
    <w:rsid w:val="00487BD1"/>
    <w:pPr>
      <w:ind w:leftChars="2500" w:left="100"/>
    </w:pPr>
  </w:style>
  <w:style w:type="character" w:customStyle="1" w:styleId="Char1">
    <w:name w:val="日期 Char"/>
    <w:basedOn w:val="a0"/>
    <w:link w:val="a5"/>
    <w:uiPriority w:val="99"/>
    <w:semiHidden/>
    <w:locked/>
    <w:rsid w:val="00487BD1"/>
    <w:rPr>
      <w:rFonts w:ascii="Calibri" w:eastAsia="宋体" w:hAnsi="Calibri" w:cs="Calibri"/>
    </w:rPr>
  </w:style>
  <w:style w:type="paragraph" w:customStyle="1" w:styleId="1-21">
    <w:name w:val="中等深浅网格 1 - 着色 21"/>
    <w:basedOn w:val="a"/>
    <w:uiPriority w:val="99"/>
    <w:rsid w:val="00711675"/>
    <w:pPr>
      <w:ind w:firstLineChars="200" w:firstLine="420"/>
    </w:pPr>
  </w:style>
  <w:style w:type="paragraph" w:styleId="a6">
    <w:name w:val="Normal (Web)"/>
    <w:basedOn w:val="a"/>
    <w:uiPriority w:val="99"/>
    <w:rsid w:val="006B0F7B"/>
    <w:pPr>
      <w:widowControl/>
      <w:jc w:val="left"/>
    </w:pPr>
    <w:rPr>
      <w:rFonts w:ascii="宋体" w:hAnsi="宋体" w:cs="宋体"/>
      <w:kern w:val="0"/>
      <w:sz w:val="24"/>
      <w:szCs w:val="24"/>
    </w:rPr>
  </w:style>
  <w:style w:type="paragraph" w:styleId="a7">
    <w:name w:val="Balloon Text"/>
    <w:basedOn w:val="a"/>
    <w:link w:val="Char2"/>
    <w:uiPriority w:val="99"/>
    <w:semiHidden/>
    <w:rsid w:val="006B0F7B"/>
    <w:rPr>
      <w:sz w:val="18"/>
      <w:szCs w:val="18"/>
    </w:rPr>
  </w:style>
  <w:style w:type="character" w:customStyle="1" w:styleId="Char2">
    <w:name w:val="批注框文本 Char"/>
    <w:basedOn w:val="a0"/>
    <w:link w:val="a7"/>
    <w:uiPriority w:val="99"/>
    <w:semiHidden/>
    <w:locked/>
    <w:rsid w:val="006B0F7B"/>
    <w:rPr>
      <w:rFonts w:ascii="Calibri" w:eastAsia="宋体" w:hAnsi="Calibri" w:cs="Calibri"/>
      <w:sz w:val="18"/>
      <w:szCs w:val="18"/>
    </w:rPr>
  </w:style>
  <w:style w:type="table" w:styleId="a8">
    <w:name w:val="Table Grid"/>
    <w:basedOn w:val="a1"/>
    <w:uiPriority w:val="99"/>
    <w:rsid w:val="008C459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3405</Characters>
  <Application>Microsoft Office Word</Application>
  <DocSecurity>0</DocSecurity>
  <Lines>28</Lines>
  <Paragraphs>7</Paragraphs>
  <ScaleCrop>false</ScaleCrop>
  <Company>微软中国</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Users</cp:lastModifiedBy>
  <cp:revision>2</cp:revision>
  <cp:lastPrinted>2015-09-22T07:43:00Z</cp:lastPrinted>
  <dcterms:created xsi:type="dcterms:W3CDTF">2016-09-12T08:12:00Z</dcterms:created>
  <dcterms:modified xsi:type="dcterms:W3CDTF">2016-09-12T08:12:00Z</dcterms:modified>
</cp:coreProperties>
</file>